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Общий объем финансирования муниципальной программы составляет 3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359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2020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2022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3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309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6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33 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975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53,4 тыс. рублей направляются на восстановление (ремонт, </w:t>
                  </w:r>
                  <w:proofErr w:type="spellStart"/>
                  <w:r w:rsidRPr="00717941">
                    <w:rPr>
                      <w:bCs/>
                      <w:iCs/>
                      <w:sz w:val="28"/>
                      <w:szCs w:val="28"/>
                    </w:rPr>
                    <w:t>ресставрация</w:t>
                  </w:r>
                  <w:proofErr w:type="spellEnd"/>
                  <w:r w:rsidRPr="00717941">
                    <w:rPr>
                      <w:bCs/>
                      <w:iCs/>
                      <w:sz w:val="28"/>
                      <w:szCs w:val="28"/>
                    </w:rPr>
                    <w:t>, благоустройство) воинских захоронений;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0,0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Г.В. </w:t>
      </w:r>
      <w:proofErr w:type="spellStart"/>
      <w:r w:rsidRPr="00717941">
        <w:rPr>
          <w:sz w:val="28"/>
          <w:szCs w:val="28"/>
        </w:rPr>
        <w:t>Бадаев</w:t>
      </w:r>
      <w:proofErr w:type="spellEnd"/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05.11.2019 № 92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Г.В. </w:t>
      </w:r>
      <w:proofErr w:type="spellStart"/>
      <w:r>
        <w:rPr>
          <w:kern w:val="2"/>
          <w:sz w:val="28"/>
          <w:szCs w:val="28"/>
        </w:rPr>
        <w:t>Бадаев</w:t>
      </w:r>
      <w:proofErr w:type="spellEnd"/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CDA" w:rsidRDefault="00161CDA" w:rsidP="005A6540">
      <w:r>
        <w:separator/>
      </w:r>
    </w:p>
  </w:endnote>
  <w:endnote w:type="continuationSeparator" w:id="0">
    <w:p w:rsidR="00161CDA" w:rsidRDefault="00161CD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CDA" w:rsidRDefault="00161CDA" w:rsidP="005A6540">
      <w:r>
        <w:separator/>
      </w:r>
    </w:p>
  </w:footnote>
  <w:footnote w:type="continuationSeparator" w:id="0">
    <w:p w:rsidR="00161CDA" w:rsidRDefault="00161CD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787A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18DD04-2ACC-4092-BC2C-989E99F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141D-E03A-44AA-B5DC-7FA63C3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